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5D" w:rsidRPr="00FD3714" w:rsidRDefault="00A6245D" w:rsidP="00FD3714">
      <w:pPr>
        <w:spacing w:after="16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32"/>
          <w:lang w:eastAsia="uk-UA"/>
        </w:rPr>
      </w:pPr>
      <w:proofErr w:type="spellStart"/>
      <w:r w:rsidRPr="00FD3714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32"/>
          <w:lang w:eastAsia="uk-UA"/>
        </w:rPr>
        <w:t>Фідбеки</w:t>
      </w:r>
      <w:proofErr w:type="spellEnd"/>
      <w:r w:rsidRPr="00FD3714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32"/>
          <w:lang w:eastAsia="uk-UA"/>
        </w:rPr>
        <w:t xml:space="preserve"> для визначення підсумкової оцінки з математики учнів 3-4 класів</w:t>
      </w:r>
    </w:p>
    <w:p w:rsidR="00A6245D" w:rsidRPr="00FD3714" w:rsidRDefault="009270AD" w:rsidP="00FD3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B9BDBD"/>
          <w:sz w:val="32"/>
          <w:szCs w:val="32"/>
          <w:lang w:eastAsia="uk-UA"/>
        </w:rPr>
      </w:pPr>
      <w:hyperlink r:id="rId4" w:history="1">
        <w:r w:rsidR="00A6245D" w:rsidRPr="00FD3714">
          <w:rPr>
            <w:rFonts w:ascii="Times New Roman" w:eastAsia="Times New Roman" w:hAnsi="Times New Roman" w:cs="Times New Roman"/>
            <w:b/>
            <w:bCs/>
            <w:color w:val="595F5F"/>
            <w:sz w:val="32"/>
            <w:szCs w:val="32"/>
            <w:lang w:eastAsia="uk-UA"/>
          </w:rPr>
          <w:t>09.01.2022</w:t>
        </w:r>
      </w:hyperlink>
      <w:hyperlink r:id="rId5" w:history="1">
        <w:r w:rsidR="00A6245D" w:rsidRPr="00FD3714">
          <w:rPr>
            <w:rFonts w:ascii="Times New Roman" w:eastAsia="Times New Roman" w:hAnsi="Times New Roman" w:cs="Times New Roman"/>
            <w:b/>
            <w:bCs/>
            <w:color w:val="595F5F"/>
            <w:sz w:val="32"/>
            <w:szCs w:val="32"/>
            <w:lang w:eastAsia="uk-UA"/>
          </w:rPr>
          <w:t>Барна Марія</w:t>
        </w:r>
      </w:hyperlink>
    </w:p>
    <w:p w:rsidR="00A6245D" w:rsidRPr="00FD3714" w:rsidRDefault="00A6245D" w:rsidP="00FD37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95F5F"/>
          <w:sz w:val="32"/>
          <w:szCs w:val="32"/>
          <w:lang w:eastAsia="uk-UA"/>
        </w:rPr>
      </w:pPr>
      <w:proofErr w:type="spellStart"/>
      <w:r w:rsidRPr="00FD3714">
        <w:rPr>
          <w:rFonts w:ascii="Times New Roman" w:eastAsia="Times New Roman" w:hAnsi="Times New Roman" w:cs="Times New Roman"/>
          <w:b/>
          <w:bCs/>
          <w:i/>
          <w:iCs/>
          <w:color w:val="595F5F"/>
          <w:sz w:val="32"/>
          <w:szCs w:val="32"/>
          <w:lang w:eastAsia="uk-UA"/>
        </w:rPr>
        <w:t>Фідбеки</w:t>
      </w:r>
      <w:proofErr w:type="spellEnd"/>
      <w:r w:rsidRPr="00FD3714">
        <w:rPr>
          <w:rFonts w:ascii="Times New Roman" w:eastAsia="Times New Roman" w:hAnsi="Times New Roman" w:cs="Times New Roman"/>
          <w:b/>
          <w:bCs/>
          <w:i/>
          <w:iCs/>
          <w:color w:val="595F5F"/>
          <w:sz w:val="32"/>
          <w:szCs w:val="32"/>
          <w:lang w:eastAsia="uk-UA"/>
        </w:rPr>
        <w:t xml:space="preserve">  для визначення підсумкової оцінки з математики за  2021-2022 </w:t>
      </w:r>
      <w:proofErr w:type="spellStart"/>
      <w:r w:rsidRPr="00FD3714">
        <w:rPr>
          <w:rFonts w:ascii="Times New Roman" w:eastAsia="Times New Roman" w:hAnsi="Times New Roman" w:cs="Times New Roman"/>
          <w:b/>
          <w:bCs/>
          <w:i/>
          <w:iCs/>
          <w:color w:val="595F5F"/>
          <w:sz w:val="32"/>
          <w:szCs w:val="32"/>
          <w:lang w:eastAsia="uk-UA"/>
        </w:rPr>
        <w:t>н.р</w:t>
      </w:r>
      <w:proofErr w:type="spellEnd"/>
      <w:r w:rsidRPr="00FD3714">
        <w:rPr>
          <w:rFonts w:ascii="Times New Roman" w:eastAsia="Times New Roman" w:hAnsi="Times New Roman" w:cs="Times New Roman"/>
          <w:b/>
          <w:bCs/>
          <w:i/>
          <w:iCs/>
          <w:color w:val="595F5F"/>
          <w:sz w:val="32"/>
          <w:szCs w:val="32"/>
          <w:lang w:eastAsia="uk-UA"/>
        </w:rPr>
        <w:t>.   з урахуванням результатів  виконання завдань тематичних   робіт та  динаміки  досягнення того чи іншого результату у процесі формувального оцінювання учнів 3 і 4 класів НУШ</w:t>
      </w:r>
    </w:p>
    <w:p w:rsidR="00A6245D" w:rsidRPr="00FD3714" w:rsidRDefault="009270A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hyperlink r:id="rId6" w:tgtFrame="_blank" w:history="1">
        <w:r w:rsidR="00A6245D"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 xml:space="preserve">Додатки 1 і 2 до навчальних  видань авторів Барни Марії і  </w:t>
        </w:r>
        <w:proofErr w:type="spellStart"/>
        <w:r w:rsidR="00A6245D"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>Паук</w:t>
        </w:r>
        <w:proofErr w:type="spellEnd"/>
        <w:r w:rsidR="00A6245D"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 xml:space="preserve"> Людмили «Розвиваємо математичну грамотність. Тематичні роботи  з математики. 3 і 4 кл.»</w:t>
        </w:r>
      </w:hyperlink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Як відомо, результати навчання учнів 1–4-х класів у 2021-2022 </w:t>
      </w:r>
      <w:proofErr w:type="spellStart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н.р</w:t>
      </w:r>
      <w:proofErr w:type="spellEnd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. оцінюють по-новому.  У 1-2 класах, як правило, це вербальне оцінювання, а у 3-4 класах – </w:t>
      </w:r>
      <w:proofErr w:type="spellStart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рівневе</w:t>
      </w:r>
      <w:proofErr w:type="spellEnd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.  Замість звичних оцінок/балів  рівень результату навчання  учнів визначається з урахуванням динаміки його досягнення у процесі формувального оцінювання за рік, зокрема й з урахуванням результатів  виконання завдань тематичних </w:t>
      </w:r>
      <w:proofErr w:type="spellStart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діагностувальних</w:t>
      </w:r>
      <w:proofErr w:type="spellEnd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 робіт.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Автори  навчальних  видань «Розвиваємо математичну грамотність. Тематичні роботи  з математики. 3 і 4 кл.» Барна Марія,  </w:t>
      </w:r>
      <w:proofErr w:type="spellStart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Паук</w:t>
      </w:r>
      <w:proofErr w:type="spellEnd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 Людмила розробили на допомогу вчителям початкових класів власні підходи до здійснення зворотного зв’язку (</w:t>
      </w:r>
      <w:proofErr w:type="spellStart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фідбеки</w:t>
      </w:r>
      <w:proofErr w:type="spellEnd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)  для формувального та підсумкового  оцінювання результатів навчання математики у 3-4 класах,  орієнтовні зразки яких надано </w:t>
      </w:r>
      <w:hyperlink r:id="rId7" w:tgtFrame="_blank" w:history="1">
        <w:r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>ТУТ</w:t>
        </w:r>
      </w:hyperlink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Барна Марія, завідувачка кабінету координації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br/>
      </w: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 xml:space="preserve">впровадження НУШ і моніторингу </w:t>
      </w:r>
      <w:proofErr w:type="spellStart"/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КЗ</w:t>
      </w:r>
      <w:proofErr w:type="spellEnd"/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 xml:space="preserve"> ЛОР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br/>
      </w: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«Львівський обласний інститут післядипломної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br/>
      </w: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 xml:space="preserve">педагогічної освіти», кандидатка педагогічних наук, </w:t>
      </w:r>
      <w:proofErr w:type="spellStart"/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доцентка</w:t>
      </w:r>
      <w:proofErr w:type="spellEnd"/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 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(Витяг  з наказу МОН України від  13.07.2021 р. № 813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br/>
      </w: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«Про  затвердження методичних рекомендацій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br/>
      </w: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щодо оцінювання результатів навчання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br/>
      </w:r>
      <w:r w:rsidRPr="00FD3714">
        <w:rPr>
          <w:rFonts w:ascii="Times New Roman" w:eastAsia="Times New Roman" w:hAnsi="Times New Roman" w:cs="Times New Roman"/>
          <w:i/>
          <w:iCs/>
          <w:color w:val="595F5F"/>
          <w:sz w:val="32"/>
          <w:szCs w:val="32"/>
          <w:lang w:eastAsia="uk-UA"/>
        </w:rPr>
        <w:t>учнів 1-4 класів закладів загальної середньої освіти»).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lastRenderedPageBreak/>
        <w:t> 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Розвиваємо математичну грамотність молодших школярів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…Відповідно до Методичних рекомендацій з питань формування внутрішньої системи забезпечення якості освіти у закладах загальної середньої освіти, що затверджені наказом Міністерства освіти і науки України від 30.11.2020 </w:t>
      </w:r>
      <w:hyperlink r:id="rId8" w:tgtFrame="_blank" w:history="1">
        <w:r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>№ 1480</w:t>
        </w:r>
      </w:hyperlink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,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заклад загальної середньої освіти може розробляти і фіксувати загальні положення щодо оцінювання результатів навчання учня в освітній програмі і конкретизувати їх у частині Положення про внутрішню систему забезпечення якості освіти в закладі загальної середньої освіти, що стосується системи оцінювання результатів навчання учня/учениці.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З метою забезпечення вільного вибору педагогічними працівниками методик, технологій навчання підходи до оцінювання у різних класах закладу загальної середньої освіти можуть мати відмінності, що спрямовані на реалізацію обраних освітніх програм.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Особливості організації оцінювання в певному класі можуть ініціюватися вчителем і бути затвердженими на засіданні педагогічної ради закладу загальної середньої освіти.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…У межах формувального оцінювання за результатами опанування певної програмової теми/частини теми (якщо тема велика за обсягом)/кількох тем чи розділу протягом навчального року рекомендуємо проводити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 xml:space="preserve">тематичні </w:t>
      </w:r>
      <w:proofErr w:type="spellStart"/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діагностувальні</w:t>
      </w:r>
      <w:proofErr w:type="spellEnd"/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 xml:space="preserve"> роботи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…З математики тематичні роботи можуть бути комбінованими, у тому числі з тестових завдань закритого й відкритого типів, та містити навчальні завдання на виявлення стану сформованості навичок читання, запису і порівняння  чисел, обчислювальних навичок, навичок читання і запису математичних виразів/рівностей/нерівностей, розв’язування рівнянь, уміння розв’язувати задачі, розпізнавання й побудову геометричних фігур, оперування величинами тощо з урахуванням програмового матеріалу, що опрацьовувався.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…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Зміст  завдань у роботі може охоплювати різні змістові лінії навчальної програми з математики.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lastRenderedPageBreak/>
        <w:t>…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Кількість і періодичність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 тематичних робіт з предмета вивчення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учитель може визначати самостійно під час складання календарно-тематичного планування.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… Результатами оцінювання тематичних </w:t>
      </w:r>
      <w:proofErr w:type="spellStart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діагностувальних</w:t>
      </w:r>
      <w:proofErr w:type="spellEnd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 робіт є оцінювальні судження з висновком про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сформованість кожного результату навчання, який діагностується на даному етапі навчання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. Оскільки тематична робота може містити завдання різних рівнів реалізації навчальної діяльності, то для формулювання оцінювального судження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рекомендуємо характеристику результату навчання співвідносити з орієнтовними рамками оцінювання з урахуванням видів діяльності, водночас рівня результату навчання учня НЕ визначати.</w:t>
      </w:r>
    </w:p>
    <w:p w:rsidR="00A6245D" w:rsidRPr="00FD3714" w:rsidRDefault="00A6245D" w:rsidP="00FD3714">
      <w:pPr>
        <w:shd w:val="clear" w:color="auto" w:fill="FFFFFF"/>
        <w:spacing w:after="339"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….З метою підготовки до наступного після </w:t>
      </w:r>
      <w:proofErr w:type="spellStart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діагностувальної</w:t>
      </w:r>
      <w:proofErr w:type="spellEnd"/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 xml:space="preserve"> роботи уроку рекомендуємо учителю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у зручний для себе спосіб</w:t>
      </w:r>
      <w:r w:rsidRPr="00FD3714"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  <w:t> узагальнити виявлені результати навчання учнів класу, визначити їх досягнення та утруднення, спланувати форми і зміст диференційованої та індивідуальної роботи учнів, визначити шляхи подальшої роботи з метою покращення результатів. </w:t>
      </w:r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 xml:space="preserve">Форму аналізу </w:t>
      </w:r>
      <w:proofErr w:type="spellStart"/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>діагностувальної</w:t>
      </w:r>
      <w:proofErr w:type="spellEnd"/>
      <w:r w:rsidRPr="00FD3714">
        <w:rPr>
          <w:rFonts w:ascii="Times New Roman" w:eastAsia="Times New Roman" w:hAnsi="Times New Roman" w:cs="Times New Roman"/>
          <w:b/>
          <w:bCs/>
          <w:color w:val="595F5F"/>
          <w:sz w:val="32"/>
          <w:szCs w:val="32"/>
          <w:lang w:eastAsia="uk-UA"/>
        </w:rPr>
        <w:t xml:space="preserve"> роботи вчитель може дібрати на власний розсуд…</w:t>
      </w:r>
    </w:p>
    <w:p w:rsidR="00A6245D" w:rsidRPr="00FD3714" w:rsidRDefault="009270AD" w:rsidP="00FD37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95F5F"/>
          <w:sz w:val="32"/>
          <w:szCs w:val="32"/>
          <w:lang w:eastAsia="uk-UA"/>
        </w:rPr>
      </w:pPr>
      <w:hyperlink r:id="rId9" w:tgtFrame="_blank" w:history="1">
        <w:r w:rsidR="00A6245D"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 xml:space="preserve">Додатки 1 і 2 до навчальних  видань авторів Барни Марії і  </w:t>
        </w:r>
        <w:proofErr w:type="spellStart"/>
        <w:r w:rsidR="00A6245D"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>Паук</w:t>
        </w:r>
        <w:proofErr w:type="spellEnd"/>
        <w:r w:rsidR="00A6245D" w:rsidRPr="00FD3714">
          <w:rPr>
            <w:rFonts w:ascii="Times New Roman" w:eastAsia="Times New Roman" w:hAnsi="Times New Roman" w:cs="Times New Roman"/>
            <w:color w:val="FF00FF"/>
            <w:sz w:val="32"/>
            <w:szCs w:val="32"/>
            <w:lang w:eastAsia="uk-UA"/>
          </w:rPr>
          <w:t xml:space="preserve"> Людмили «Розвиваємо математичну</w:t>
        </w:r>
      </w:hyperlink>
    </w:p>
    <w:p w:rsidR="00851A85" w:rsidRDefault="00851A85"/>
    <w:sectPr w:rsidR="00851A85" w:rsidSect="00851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6245D"/>
    <w:rsid w:val="00851A85"/>
    <w:rsid w:val="009270AD"/>
    <w:rsid w:val="00A6245D"/>
    <w:rsid w:val="00FD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85"/>
  </w:style>
  <w:style w:type="paragraph" w:styleId="1">
    <w:name w:val="heading 1"/>
    <w:basedOn w:val="a"/>
    <w:link w:val="10"/>
    <w:uiPriority w:val="9"/>
    <w:qFormat/>
    <w:rsid w:val="00A62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45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ed-on">
    <w:name w:val="posted-on"/>
    <w:basedOn w:val="a0"/>
    <w:rsid w:val="00A6245D"/>
  </w:style>
  <w:style w:type="character" w:styleId="a3">
    <w:name w:val="Hyperlink"/>
    <w:basedOn w:val="a0"/>
    <w:uiPriority w:val="99"/>
    <w:semiHidden/>
    <w:unhideWhenUsed/>
    <w:rsid w:val="00A6245D"/>
    <w:rPr>
      <w:color w:val="0000FF"/>
      <w:u w:val="single"/>
    </w:rPr>
  </w:style>
  <w:style w:type="character" w:customStyle="1" w:styleId="author">
    <w:name w:val="author"/>
    <w:basedOn w:val="a0"/>
    <w:rsid w:val="00A6245D"/>
  </w:style>
  <w:style w:type="paragraph" w:styleId="a4">
    <w:name w:val="Normal (Web)"/>
    <w:basedOn w:val="a"/>
    <w:uiPriority w:val="99"/>
    <w:semiHidden/>
    <w:unhideWhenUsed/>
    <w:rsid w:val="00A6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6245D"/>
    <w:rPr>
      <w:i/>
      <w:iCs/>
    </w:rPr>
  </w:style>
  <w:style w:type="character" w:styleId="a6">
    <w:name w:val="Strong"/>
    <w:basedOn w:val="a0"/>
    <w:uiPriority w:val="22"/>
    <w:qFormat/>
    <w:rsid w:val="00A62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386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631">
              <w:blockQuote w:val="1"/>
              <w:marLeft w:val="0"/>
              <w:marRight w:val="0"/>
              <w:marTop w:val="847"/>
              <w:marBottom w:val="8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7768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rna-consult.com/wp-content/uploads/2022/01/Fidbeky-3-4-kl-Matematyka_2-semestr-ta-2021-2022-n.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na-consult.com/wp-content/uploads/2022/01/Fidbeky-3-4-kl-Matematyka_2-semestr-ta-2021-2022-n.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rna-consult.com/author/barnam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rna-consult.com/fidbeky-dlya-vyznachennya-pidsumkovoyi-otsinky-z-matematyky-uchniv-3-4-klasiv/" TargetMode="External"/><Relationship Id="rId9" Type="http://schemas.openxmlformats.org/officeDocument/2006/relationships/hyperlink" Target="http://barna-consult.com/wp-content/uploads/2022/01/Fidbeky-3-4-kl-Matematyka_2-semestr-ta-2021-2022-n.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3415</Words>
  <Characters>1948</Characters>
  <Application>Microsoft Office Word</Application>
  <DocSecurity>0</DocSecurity>
  <Lines>16</Lines>
  <Paragraphs>10</Paragraphs>
  <ScaleCrop>false</ScaleCrop>
  <Company>office 2007 rus ent: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2022-01-20T09:35:00Z</dcterms:created>
  <dcterms:modified xsi:type="dcterms:W3CDTF">2022-01-20T09:37:00Z</dcterms:modified>
</cp:coreProperties>
</file>